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13A61CA" w:rsidR="00D6147A" w:rsidRDefault="000624B9" w:rsidP="000624B9">
      <w:hyperlink r:id="rId6" w:history="1">
        <w:r w:rsidRPr="00B61BE0">
          <w:rPr>
            <w:rStyle w:val="Collegamentoipertestuale"/>
          </w:rPr>
          <w:t>https://www.italiaoggi.it/economia-e-politica/economia-e-finanza/dazi-trump-il-governatore-di-bankitalia-piu-colpite-italia-e-germania-bkfadxi1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4B9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taliaoggi.it/economia-e-politica/economia-e-finanza/dazi-trump-il-governatore-di-bankitalia-piu-colpite-italia-e-germania-bkfadxi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2025-02-18T12:50:00Z</dcterms:created>
  <dcterms:modified xsi:type="dcterms:W3CDTF">2025-02-18T13:28:00Z</dcterms:modified>
</cp:coreProperties>
</file>